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138C8F2" w:rsidR="00093CA9" w:rsidRDefault="002033A6"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E2653"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A544D24" w:rsidR="00093CA9" w:rsidRPr="00841E61" w:rsidRDefault="00715211" w:rsidP="00715211">
            <w:pPr>
              <w:jc w:val="both"/>
              <w:rPr>
                <w:lang w:val="es-ES"/>
              </w:rPr>
            </w:pPr>
            <w:r w:rsidRPr="004C75F9">
              <w:rPr>
                <w:lang w:val="en-US"/>
              </w:rPr>
              <w:t xml:space="preserve">Technical Document – Dashboard for the Financial System, Strategies for Transition and Climate Risk. </w:t>
            </w:r>
            <w:r w:rsidRPr="00700C6C">
              <w:rPr>
                <w:lang w:val="es-ES"/>
              </w:rPr>
              <w:t>(</w:t>
            </w:r>
            <w:r w:rsidRPr="00D47FFA">
              <w:rPr>
                <w:lang w:val="es-ES"/>
              </w:rPr>
              <w:t>Documento Técnico- Tablero de Control para el Sistema Financiero, Estrategias de Transición y el Riesgo Climático</w:t>
            </w:r>
            <w:r>
              <w:rPr>
                <w:lang w:val="es-ES"/>
              </w:rPr>
              <w:t>)</w:t>
            </w:r>
            <w:r w:rsidRPr="00D47FFA">
              <w:rPr>
                <w:lang w:val="es-ES"/>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150CE3C" w:rsidR="00093CA9" w:rsidRDefault="00EE71E5" w:rsidP="00093CA9">
            <w:hyperlink r:id="rId17" w:history="1">
              <w:r w:rsidRPr="00B809A3">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1B4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565446"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8FEC51B" w14:textId="370F7C3D" w:rsidR="00C769DB" w:rsidRDefault="00C769DB" w:rsidP="00C769DB">
            <w:pPr>
              <w:jc w:val="both"/>
            </w:pPr>
            <w:r w:rsidRPr="00C769DB">
              <w:t xml:space="preserve">The policy tool described in the document is the Sustainable Finance Dashboard developed by the </w:t>
            </w:r>
            <w:r w:rsidRPr="00C769DB">
              <w:rPr>
                <w:lang w:val="en-US"/>
              </w:rPr>
              <w:t xml:space="preserve">Superintendency of </w:t>
            </w:r>
            <w:r>
              <w:rPr>
                <w:lang w:val="en-US"/>
              </w:rPr>
              <w:t>F</w:t>
            </w:r>
            <w:r w:rsidRPr="00C769DB">
              <w:rPr>
                <w:lang w:val="en-US"/>
              </w:rPr>
              <w:t xml:space="preserve">inancial </w:t>
            </w:r>
            <w:r>
              <w:rPr>
                <w:lang w:val="en-US"/>
              </w:rPr>
              <w:t>I</w:t>
            </w:r>
            <w:r w:rsidRPr="00C769DB">
              <w:rPr>
                <w:lang w:val="en-US"/>
              </w:rPr>
              <w:t>nstitutions</w:t>
            </w:r>
            <w:r w:rsidRPr="00C769DB">
              <w:t xml:space="preserve"> (</w:t>
            </w:r>
            <w:r>
              <w:t>“</w:t>
            </w:r>
            <w:r w:rsidRPr="00C769DB">
              <w:rPr>
                <w:u w:val="single"/>
              </w:rPr>
              <w:t>SFC</w:t>
            </w:r>
            <w:r>
              <w:t>”</w:t>
            </w:r>
            <w:r w:rsidRPr="00C769DB">
              <w:t>)</w:t>
            </w:r>
            <w:r>
              <w:t xml:space="preserve">. </w:t>
            </w:r>
            <w:r w:rsidRPr="00C769DB">
              <w:t>This dashboard is designed to provide supervisors and financial entities with a comprehensive instrument to monitor and understand key aspects of climate transition and risk, including the evolution of physical and transition risks, the progress of responsible and sustainable transformation in the financial system, and the promotion of sustainable financing and investment aligned with Environmental, Social, and Governance (</w:t>
            </w:r>
            <w:r>
              <w:t>“</w:t>
            </w:r>
            <w:r w:rsidRPr="00C769DB">
              <w:rPr>
                <w:u w:val="single"/>
              </w:rPr>
              <w:t>ESG</w:t>
            </w:r>
            <w:r>
              <w:t>”</w:t>
            </w:r>
            <w:r w:rsidRPr="00C769DB">
              <w:t xml:space="preserve">) criteria. </w:t>
            </w:r>
          </w:p>
          <w:p w14:paraId="18257824" w14:textId="18C791BA" w:rsidR="00093CA9" w:rsidRDefault="00C769DB" w:rsidP="00C769DB">
            <w:pPr>
              <w:jc w:val="both"/>
            </w:pPr>
            <w:r w:rsidRPr="00C769DB">
              <w:t xml:space="preserve">Its relevance to prudential tools is highlighted in its capacity to support systemic risk monitoring, facilitate the integration of ESG considerations into risk management, and enhance transparency and decision-making for both supervisors and financial institutions. The dashboard incorporates a range of economic, social, environmental, and risk indicators, and is aligned with international standards such as those from the Network for Greening the Financial System </w:t>
            </w:r>
            <w:r>
              <w:t>(“</w:t>
            </w:r>
            <w:r w:rsidRPr="00C769DB">
              <w:rPr>
                <w:u w:val="single"/>
              </w:rPr>
              <w:t>NGFS</w:t>
            </w:r>
            <w:r>
              <w:t>”)</w:t>
            </w:r>
            <w:r w:rsidRPr="00C769DB">
              <w:t xml:space="preserve"> and Task Force on Climate-related Financial Disclosures </w:t>
            </w:r>
            <w:r>
              <w:t>(“</w:t>
            </w:r>
            <w:r w:rsidRPr="00C769DB">
              <w:rPr>
                <w:u w:val="single"/>
              </w:rPr>
              <w:t>TCFD</w:t>
            </w:r>
            <w:r>
              <w:t>”)</w:t>
            </w:r>
            <w:r w:rsidRPr="00C769DB">
              <w:t>, thereby strengthening prudential supervision and supporting the resilience and stability of the Colombian financial system</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04B507F" w:rsidR="00093CA9" w:rsidRDefault="00C769D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FEC2E5B" w:rsidR="00093CA9" w:rsidRPr="00173D7C" w:rsidRDefault="00B809A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89EEAF3" w14:textId="77777777" w:rsidR="00B809A3" w:rsidRDefault="00B809A3" w:rsidP="00B809A3">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Pr>
                <w:lang w:val="en-US"/>
              </w:rPr>
              <w:t xml:space="preserve">, </w:t>
            </w:r>
            <w:r>
              <w:t>which is a technical government agency attached to the Ministry of Finance and Public Credit. The SFC possesses legal personality, as well as administrative and financial autonomy, and its own assets.</w:t>
            </w:r>
          </w:p>
          <w:p w14:paraId="7961F236" w14:textId="03A873AD" w:rsidR="00093CA9" w:rsidRDefault="00B809A3" w:rsidP="00B809A3">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ACEE21" w:rsidR="00093CA9" w:rsidRPr="006B7B0D" w:rsidRDefault="00B809A3" w:rsidP="00093CA9">
            <w:r w:rsidRPr="005E4C3B">
              <w:t xml:space="preserve">Superintendency of Financial </w:t>
            </w:r>
            <w:r>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9EEC053" w:rsidR="00093CA9" w:rsidRPr="006B7B0D" w:rsidRDefault="00B809A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755183B" w:rsidR="00093CA9" w:rsidRDefault="00B809A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0216606" w:rsidR="00093CA9" w:rsidRPr="00B809A3" w:rsidRDefault="00B809A3" w:rsidP="00093CA9">
            <w:pPr>
              <w:keepNext/>
              <w:rPr>
                <w:color w:val="000000" w:themeColor="text1"/>
                <w:lang w:val="en-US"/>
              </w:rPr>
            </w:pPr>
            <w:r>
              <w:rPr>
                <w:color w:val="000000" w:themeColor="text1"/>
                <w:lang w:val="en-US"/>
              </w:rPr>
              <w:t>M</w:t>
            </w:r>
            <w:r w:rsidRPr="00B809A3">
              <w:rPr>
                <w:color w:val="000000" w:themeColor="text1"/>
                <w:lang w:val="en-US"/>
              </w:rPr>
              <w:t>onitoring systems are being established to oversee the implementation and enforcement of the policy tool. The Sustainable Finance Dashboard is specifically designed as a monitoring instrument for supervisors and financial entities, incorporating periodic data collection and reporting from financial institutions to develop relevant indicators in areas such as financing, risk management, exposure, and impact measurement. The document also notes the intention to enable a public consultation in January 2024, which suggests a commitment to transparency and stakeholder engagement. Furthermore, the dashboard will integrate data from various official and alternative sources, and the results will be made available for public feedback, indicating the use of open data and public dashboards as part of the monitoring system. Thus, the policy tool includes robust mechanisms for ongoing oversight, periodic reporting, and public transparency.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2028CCC" w:rsidR="00D4323A" w:rsidRPr="00CF2E7C" w:rsidRDefault="00B809A3"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6E0324C" w:rsidR="00D4323A" w:rsidRPr="00CF2E7C" w:rsidRDefault="00B809A3"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877AA7" w:rsidR="00D4323A" w:rsidRPr="00CF2E7C" w:rsidRDefault="00D4323A" w:rsidP="00CF2E7C">
            <w:pPr>
              <w:rPr>
                <w:rFonts w:ascii="Calibri" w:hAnsi="Calibri" w:cs="Calibri"/>
              </w:rPr>
            </w:pPr>
          </w:p>
        </w:tc>
        <w:tc>
          <w:tcPr>
            <w:tcW w:w="1455" w:type="dxa"/>
            <w:gridSpan w:val="2"/>
            <w:vAlign w:val="center"/>
          </w:tcPr>
          <w:p w14:paraId="768ED678" w14:textId="23795D71" w:rsidR="00D4323A" w:rsidRPr="00CF2E7C" w:rsidRDefault="00B809A3"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1F64C53" w:rsidR="00D4323A" w:rsidRPr="00CF2E7C" w:rsidRDefault="00B809A3"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0DAFE44" w:rsidR="00D4323A" w:rsidRPr="00CF2E7C" w:rsidRDefault="00B809A3"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C59690C" w:rsidR="00D4323A" w:rsidRPr="00CF2E7C" w:rsidRDefault="00B809A3"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D1FAC08" w:rsidR="00D4323A" w:rsidRPr="00CF2E7C" w:rsidRDefault="00B809A3"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3176B00" w:rsidR="00D4323A" w:rsidRPr="00CF2E7C" w:rsidRDefault="00B809A3"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470AC67" w:rsidR="00D4323A" w:rsidRPr="00CF2E7C" w:rsidRDefault="00B809A3"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192B740" w:rsidR="00D4323A" w:rsidRPr="00CF2E7C" w:rsidRDefault="00B809A3"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48CBED5" w:rsidR="00D4323A" w:rsidRPr="00CF2E7C" w:rsidRDefault="00B809A3"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lastRenderedPageBreak/>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681CE23" w:rsidR="00D4323A" w:rsidRPr="00CF2E7C" w:rsidRDefault="00B809A3"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132A489" w:rsidR="00D4323A" w:rsidRPr="00CF2E7C" w:rsidRDefault="009E2653"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1CCE0FF9" w:rsidR="00DD292A" w:rsidRPr="00CF2E7C" w:rsidRDefault="00B809A3"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8479595" w:rsidR="00DD292A" w:rsidRPr="00CF2E7C" w:rsidRDefault="00B809A3"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5D422B9A" w:rsidR="00DD292A" w:rsidRPr="00CF2E7C" w:rsidRDefault="00B809A3"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4E8F8ECF" w:rsidR="00DD292A" w:rsidRPr="00CF2E7C" w:rsidRDefault="00B809A3"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4666932" w:rsidR="00DD292A" w:rsidRPr="00CF2E7C" w:rsidRDefault="00B809A3"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EDED4B7" w:rsidR="00DD292A" w:rsidRPr="00CF2E7C" w:rsidRDefault="009E2653"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5934C1E" w:rsidR="00DD292A" w:rsidRPr="00CF2E7C" w:rsidRDefault="009E2653"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6EDBFA5B" w:rsidR="00DD292A" w:rsidRPr="00CF2E7C" w:rsidRDefault="009E2653"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08205EA3" w:rsidR="00DD292A" w:rsidRPr="00CF2E7C" w:rsidRDefault="009E2653"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CDB4424" w:rsidR="00DD292A" w:rsidRPr="00CF2E7C" w:rsidRDefault="009E2653"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lastRenderedPageBreak/>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2D20A5E" w:rsidR="00DD292A" w:rsidRPr="00CF2E7C" w:rsidRDefault="009E2653"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2EE4AA91" w:rsidR="00DD292A" w:rsidRPr="00CF2E7C" w:rsidRDefault="009E2653"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5703E2B" w:rsidR="00DD292A" w:rsidRPr="00CF2E7C" w:rsidRDefault="009E2653"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0E0DA1A9" w:rsidR="00DD292A" w:rsidRPr="00CF2E7C" w:rsidRDefault="009E2653"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BFF800D" w:rsidR="00DD292A" w:rsidRPr="00CF2E7C" w:rsidRDefault="009E2653"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53E03A47" w:rsidR="00DD292A" w:rsidRPr="00CF2E7C" w:rsidRDefault="009E2653"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5C28A18A" w:rsidR="00DD292A" w:rsidRPr="00CF2E7C" w:rsidRDefault="009E2653"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DCA0C9E" w:rsidR="00DD292A" w:rsidRPr="00CF2E7C" w:rsidRDefault="009E2653"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6B52C8EF" w:rsidR="00DD292A" w:rsidRPr="00CF2E7C" w:rsidRDefault="009E2653"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1F37A39" w:rsidR="00DD292A" w:rsidRPr="00CF2E7C" w:rsidRDefault="009E2653"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54A4D138" w:rsidR="00DD292A" w:rsidRPr="00CF2E7C" w:rsidRDefault="009E2653"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51FB3C7E" w:rsidR="00DD292A" w:rsidRPr="00CF2E7C" w:rsidRDefault="009E2653"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E4C7DE0" w:rsidR="00DD292A" w:rsidRPr="00CF2E7C" w:rsidRDefault="009E2653"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4785B485" w:rsidR="00DD292A" w:rsidRPr="00CF2E7C" w:rsidRDefault="009E2653"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F6B2A5B" w:rsidR="00DD292A" w:rsidRPr="00CF2E7C" w:rsidRDefault="009E2653"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D44CF4E" w:rsidR="00DD292A" w:rsidRPr="00CF2E7C" w:rsidRDefault="009E2653"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3D1D30E" w:rsidR="00DD292A" w:rsidRPr="00CF2E7C" w:rsidRDefault="009E2653"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39A9355" w:rsidR="00DD292A" w:rsidRPr="00CF2E7C" w:rsidRDefault="009E2653"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0E79FA95"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3512E9FA" w:rsidR="00DD292A" w:rsidRPr="00CF2E7C" w:rsidRDefault="009E2653" w:rsidP="00CF2E7C">
            <w:pPr>
              <w:rPr>
                <w:rFonts w:ascii="Calibri" w:hAnsi="Calibri" w:cs="Calibri"/>
              </w:rPr>
            </w:pPr>
            <w:r w:rsidRPr="009E2653">
              <w:rPr>
                <w:rFonts w:ascii="Calibri" w:hAnsi="Calibri" w:cs="Calibri"/>
              </w:rPr>
              <w:t>All entities headquartered in Colombia or conducting activities within the national territory</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5EFF2FB1"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1F0BF156" w:rsidR="00DD292A" w:rsidRPr="00CF2E7C" w:rsidRDefault="00741E55"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28362FEF" w:rsidR="00DD3B33" w:rsidRPr="00CF2E7C" w:rsidRDefault="00741E55"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0721DEF" w:rsidR="00DD292A" w:rsidRPr="00CF2E7C" w:rsidRDefault="009E2653"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8377756"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170AE673"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028C64A" w:rsidR="00DD292A" w:rsidRPr="00CF2E7C" w:rsidRDefault="00741E5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14F3493F"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4197A3D4" w:rsidR="00410853" w:rsidRPr="00CF2E7C" w:rsidRDefault="00741E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5F11C3A6" w:rsidR="00410853" w:rsidRPr="00CF2E7C" w:rsidRDefault="00741E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objective </w:t>
            </w:r>
            <w:r w:rsidR="00EB6985" w:rsidRPr="00EB6985">
              <w:rPr>
                <w:rFonts w:ascii="Calibri" w:eastAsia="Times New Roman" w:hAnsi="Calibri" w:cs="Calibri"/>
                <w:kern w:val="0"/>
                <w:lang w:eastAsia="en-GB"/>
                <w14:ligatures w14:val="none"/>
              </w:rPr>
              <w:t>is to provide supervisors and financial entities with a comprehensive monitoring instrument that tracks and facilitates the responsible and sustainable transformation of the Colombian financial system.</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A309EBE" w:rsidR="00F632FB" w:rsidRPr="00CF2E7C" w:rsidRDefault="00E27D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646CC75" w:rsidR="00F632FB" w:rsidRPr="00CF2E7C" w:rsidRDefault="00E27D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51E7640" w:rsidR="00F632FB" w:rsidRPr="00CF2E7C" w:rsidRDefault="00E27D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3810847" w:rsidR="008C472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8273826" w:rsidR="008C472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3A1F805" w:rsidR="008C472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7B4DF70" w:rsidR="008C472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1FC9088E" w:rsidR="008C4722" w:rsidRPr="00F94C1F" w:rsidRDefault="00F94C1F" w:rsidP="00CF2E7C">
            <w:pPr>
              <w:textAlignment w:val="baseline"/>
              <w:rPr>
                <w:rFonts w:ascii="Calibri" w:eastAsia="Times New Roman" w:hAnsi="Calibri" w:cs="Calibri"/>
                <w:kern w:val="0"/>
                <w:lang w:val="en-US" w:eastAsia="en-GB"/>
                <w14:ligatures w14:val="none"/>
              </w:rPr>
            </w:pPr>
            <w:r w:rsidRPr="00F94C1F">
              <w:rPr>
                <w:rFonts w:ascii="Calibri" w:eastAsia="Times New Roman" w:hAnsi="Calibri" w:cs="Calibri"/>
                <w:kern w:val="0"/>
                <w:lang w:val="en-US" w:eastAsia="en-GB"/>
                <w14:ligatures w14:val="none"/>
              </w:rPr>
              <w:t>The policy tool, as detailed in the section "Aspectos considerados para el desarrollo de la herramienta" and further elaborated under "Indicadores de Riesgos" and "Indicadores de reporte," addresses the incidence of climate-related financial risks on the targeted entity by establishing a comprehensive monitoring framework that integrates both quantitative and qualitative indicators. Specifically, it tracks the evolution of physical and transition climate risks faced by the Colombian economy, such as extreme weather events (e.g., floods and landslides) and sectoral carbon emissions, as outlined in the "Indicadores de economía real" and "Indicadores de Riesgos" sections. The tool also requires financial entities to provide data on their risk exposure, management practices, and alignment with international standards like the TCFD and the new IFRS S1 and S2 sustainability disclosure standards, as described in the "Indicadores de reporte" section. By incorporating these indicators, the policy tool enables supervisors and financial institutions to assess their vulnerability to climate-related financial risks, measure the effectiveness of their risk mitigation strategies, and ensure alignment with both national priorities and global best practices. This integrated approach ensures that the targeted entities are not only aware of their exposure to climate risks but are also equipped to manage and disclose these risks in a transparent and responsible manner.</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0EC9CD5" w:rsidR="008C472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0498CB7" w:rsidR="007B7DEE"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67824B6" w:rsidR="00ED7E1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3A253DB3" w:rsidR="00ED7E12" w:rsidRPr="00CF2E7C" w:rsidRDefault="00F94C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4D2B4394" w:rsidR="00ED7E12" w:rsidRPr="00F94C1F" w:rsidRDefault="00F94C1F" w:rsidP="00CF2E7C">
            <w:pPr>
              <w:textAlignment w:val="baseline"/>
              <w:rPr>
                <w:rFonts w:ascii="Calibri" w:eastAsia="Times New Roman" w:hAnsi="Calibri" w:cs="Calibri"/>
                <w:kern w:val="0"/>
                <w:lang w:val="en-US" w:eastAsia="en-GB"/>
                <w14:ligatures w14:val="none"/>
              </w:rPr>
            </w:pPr>
            <w:r w:rsidRPr="00F94C1F">
              <w:rPr>
                <w:rFonts w:ascii="Calibri" w:eastAsia="Times New Roman" w:hAnsi="Calibri" w:cs="Calibri"/>
                <w:kern w:val="0"/>
                <w:lang w:val="en-US" w:eastAsia="en-GB"/>
                <w14:ligatures w14:val="none"/>
              </w:rPr>
              <w:t xml:space="preserve">The policy tool monitors and verifies compliance with the obligations imposed on regulated entities primarily through two mechanisms: self-reporting by the targeted entities and regulatory oversight by the financial supervisor. As detailed in the section "Expectativas hacia las entidades financieras," the document specifies that financial institutions are expected to provide information necessary for the development of appropriate indicators, including data on financing, risk management, exposure, impact, and measurement. This self-reporting is further reinforced in the "Indicadores de reporte" section, which highlights the collection of information regarding the implementation and disclosure of the new International Financial Reporting Standards (NIIF S1 and S2) and alignment with international standards, indicating a structured process of information submission by the entities themselves. Additionally, the </w:t>
            </w:r>
            <w:r w:rsidRPr="00F94C1F">
              <w:rPr>
                <w:rFonts w:ascii="Calibri" w:eastAsia="Times New Roman" w:hAnsi="Calibri" w:cs="Calibri"/>
                <w:kern w:val="0"/>
                <w:lang w:val="en-US" w:eastAsia="en-GB"/>
                <w14:ligatures w14:val="none"/>
              </w:rPr>
              <w:lastRenderedPageBreak/>
              <w:t xml:space="preserve">document establishes that the dashboard is developed by the </w:t>
            </w:r>
            <w:r>
              <w:rPr>
                <w:rFonts w:ascii="Calibri" w:eastAsia="Times New Roman" w:hAnsi="Calibri" w:cs="Calibri"/>
                <w:kern w:val="0"/>
                <w:lang w:val="en-US" w:eastAsia="en-GB"/>
                <w14:ligatures w14:val="none"/>
              </w:rPr>
              <w:t>SFC</w:t>
            </w:r>
            <w:r w:rsidRPr="00F94C1F">
              <w:rPr>
                <w:rFonts w:ascii="Calibri" w:eastAsia="Times New Roman" w:hAnsi="Calibri" w:cs="Calibri"/>
                <w:kern w:val="0"/>
                <w:lang w:val="en-US" w:eastAsia="en-GB"/>
                <w14:ligatures w14:val="none"/>
              </w:rPr>
              <w:t xml:space="preserve"> as a supervisory tool, as described in the "Introducción" and throughout the text, implying direct regulatory oversight and monitoring by the financial authority to ensure compliance with the established obligations. No explicit mention is made of third-party verification or other mechanisms beyond these two approaches.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908E49F" w:rsidR="00702413" w:rsidRPr="009C4D10" w:rsidRDefault="00F94C1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62DA287" w:rsidR="00702413" w:rsidRPr="00F94C1F" w:rsidRDefault="00F94C1F" w:rsidP="00CF2E7C">
            <w:pPr>
              <w:textAlignment w:val="baseline"/>
              <w:rPr>
                <w:rFonts w:eastAsia="Times New Roman" w:cstheme="minorHAnsi"/>
                <w:kern w:val="0"/>
                <w:lang w:val="en-US" w:eastAsia="en-GB"/>
                <w14:ligatures w14:val="none"/>
              </w:rPr>
            </w:pPr>
            <w:r w:rsidRPr="00F94C1F">
              <w:rPr>
                <w:rFonts w:eastAsia="Times New Roman" w:cstheme="minorHAnsi"/>
                <w:kern w:val="0"/>
                <w:lang w:val="en-US" w:eastAsia="en-GB"/>
                <w14:ligatures w14:val="none"/>
              </w:rPr>
              <w:t>The key barriers and challenges in implementing the prudential policy tool for climate-related financial risk management are primarily related to data availability, methodological adaptation, and sectoral integration, as outlined in several sections of the document. In the section "Aspectos considerados para el desarrollo de la herramienta," the document highlights the importance of identifying which indicators are available and the existing data gaps, emphasizing that the lack of comprehensive and high-quality data can limit the development of pertinent indicators for monitoring climate risks. Furthermore, the section "Integración de indicadores sociales y ambientales: enfoques y metodologías" points out the challenge of adapting international methodologies and benchmarks to the specific context and characteristics of the Colombian economy, which requires methodological modifications and careful selection of relevant indicators. The "Indicadores de economía real" section also notes the difficulty in obtaining sector-specific emissions data, which is crucial for effective risk assessment. Additionally, the document mentions the need for active participation and information provision from financial entities ("Expectativas hacia las entidades financieras"), which can be a challenge if institutions lack the necessary internal capacity or resources. These barriers collectively complicate the robust implementation and ongoing monitoring of climate-related financial risks within the prudential regulatory framework.</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72384D7" w:rsidR="00FE0EA5" w:rsidRPr="009C4D10" w:rsidRDefault="00FE0EA5" w:rsidP="00CF2E7C">
            <w:pPr>
              <w:rPr>
                <w:rFonts w:cstheme="minorHAnsi"/>
              </w:rPr>
            </w:pPr>
            <w:r w:rsidRPr="009C4D10">
              <w:rPr>
                <w:rFonts w:cstheme="minorHAnsi"/>
                <w:lang w:val="en-SG"/>
              </w:rPr>
              <w:t> </w:t>
            </w:r>
            <w:r w:rsidRPr="009C4D10">
              <w:rPr>
                <w:rFonts w:cstheme="minorHAnsi"/>
              </w:rPr>
              <w:t> </w:t>
            </w:r>
            <w:r w:rsidR="00396B9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18ABF636" w:rsidR="00FE0EA5" w:rsidRPr="009C4D10" w:rsidRDefault="00FE0EA5" w:rsidP="00CF2E7C">
            <w:pPr>
              <w:rPr>
                <w:rFonts w:cstheme="minorHAnsi"/>
              </w:rPr>
            </w:pPr>
            <w:r w:rsidRPr="009C4D10">
              <w:rPr>
                <w:rFonts w:cstheme="minorHAnsi"/>
                <w:lang w:val="en-SG"/>
              </w:rPr>
              <w:t> </w:t>
            </w:r>
            <w:r w:rsidRPr="009C4D10">
              <w:rPr>
                <w:rFonts w:cstheme="minorHAnsi"/>
              </w:rPr>
              <w:t> </w:t>
            </w:r>
            <w:r w:rsidR="00396B9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81141BF" w:rsidR="00FE0EA5" w:rsidRPr="009C4D10" w:rsidRDefault="00FE0EA5" w:rsidP="00CF2E7C">
            <w:pPr>
              <w:rPr>
                <w:rFonts w:cstheme="minorHAnsi"/>
              </w:rPr>
            </w:pPr>
            <w:r w:rsidRPr="009C4D10">
              <w:rPr>
                <w:rFonts w:cstheme="minorHAnsi"/>
                <w:lang w:val="en-SG"/>
              </w:rPr>
              <w:t> </w:t>
            </w:r>
            <w:r w:rsidRPr="009C4D10">
              <w:rPr>
                <w:rFonts w:cstheme="minorHAnsi"/>
              </w:rPr>
              <w:t> </w:t>
            </w:r>
            <w:r w:rsidR="00396B9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1E067E68"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A2C3013" w:rsidR="00FE0EA5" w:rsidRPr="009C4D10" w:rsidRDefault="00FE0EA5" w:rsidP="00CF2E7C">
            <w:pPr>
              <w:rPr>
                <w:rFonts w:cstheme="minorHAnsi"/>
              </w:rPr>
            </w:pPr>
            <w:r w:rsidRPr="009C4D10">
              <w:rPr>
                <w:rFonts w:cstheme="minorHAnsi"/>
                <w:lang w:val="en-SG"/>
              </w:rPr>
              <w:t> </w:t>
            </w:r>
            <w:r w:rsidRPr="009C4D10">
              <w:rPr>
                <w:rFonts w:cstheme="minorHAnsi"/>
              </w:rPr>
              <w:t> </w:t>
            </w:r>
            <w:r w:rsidR="00396B9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21944BB1" w:rsidR="00FE0EA5" w:rsidRPr="009C4D10" w:rsidRDefault="00FE0EA5" w:rsidP="00CF2E7C">
            <w:pPr>
              <w:rPr>
                <w:rFonts w:cstheme="minorHAnsi"/>
              </w:rPr>
            </w:pPr>
            <w:r w:rsidRPr="009C4D10">
              <w:rPr>
                <w:rFonts w:cstheme="minorHAnsi"/>
                <w:lang w:val="en-SG"/>
              </w:rPr>
              <w:t> </w:t>
            </w:r>
            <w:r w:rsidRPr="009C4D10">
              <w:rPr>
                <w:rFonts w:cstheme="minorHAnsi"/>
              </w:rPr>
              <w:t> </w:t>
            </w:r>
            <w:r w:rsidR="00396B9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1289C71"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278DBC7" w:rsidR="00FE0EA5" w:rsidRPr="009C4D10" w:rsidRDefault="00FE0EA5" w:rsidP="00CF2E7C">
            <w:pPr>
              <w:rPr>
                <w:rFonts w:cstheme="minorHAnsi"/>
              </w:rPr>
            </w:pPr>
            <w:r w:rsidRPr="009C4D10">
              <w:rPr>
                <w:rFonts w:cstheme="minorHAnsi"/>
              </w:rPr>
              <w:t>  </w:t>
            </w:r>
            <w:r w:rsidR="00396B9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22E9E281" w:rsidR="00FE0EA5" w:rsidRPr="009C4D10" w:rsidRDefault="00FE0EA5" w:rsidP="00CF2E7C">
            <w:pPr>
              <w:rPr>
                <w:rFonts w:cstheme="minorHAnsi"/>
              </w:rPr>
            </w:pPr>
            <w:r w:rsidRPr="009C4D10">
              <w:rPr>
                <w:rFonts w:cstheme="minorHAnsi"/>
                <w:lang w:val="en-SG"/>
              </w:rPr>
              <w:t> </w:t>
            </w:r>
            <w:r w:rsidRPr="009C4D10">
              <w:rPr>
                <w:rFonts w:cstheme="minorHAnsi"/>
              </w:rPr>
              <w:t> </w:t>
            </w:r>
            <w:r w:rsidR="009E2653">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73F4DF4" w14:textId="5960546F" w:rsidR="008C158E" w:rsidRDefault="008C158E" w:rsidP="008C158E">
            <w:pPr>
              <w:pStyle w:val="ListParagraph"/>
              <w:numPr>
                <w:ilvl w:val="0"/>
                <w:numId w:val="49"/>
              </w:numPr>
              <w:rPr>
                <w:rFonts w:cstheme="minorHAnsi"/>
              </w:rPr>
            </w:pPr>
            <w:hyperlink r:id="rId20" w:history="1">
              <w:r w:rsidRPr="008C158E">
                <w:rPr>
                  <w:rStyle w:val="Hyperlink"/>
                  <w:rFonts w:cstheme="minorHAnsi"/>
                </w:rPr>
                <w:t>NGFS Dashboard on Scaling Up Green Finance (archived)</w:t>
              </w:r>
            </w:hyperlink>
          </w:p>
          <w:p w14:paraId="6F46DF7F" w14:textId="6B3FD102" w:rsidR="008C158E" w:rsidRDefault="008C158E" w:rsidP="008C158E">
            <w:pPr>
              <w:pStyle w:val="ListParagraph"/>
              <w:numPr>
                <w:ilvl w:val="0"/>
                <w:numId w:val="49"/>
              </w:numPr>
              <w:rPr>
                <w:rFonts w:cstheme="minorHAnsi"/>
              </w:rPr>
            </w:pPr>
            <w:hyperlink r:id="rId21" w:history="1">
              <w:r w:rsidRPr="008C158E">
                <w:rPr>
                  <w:rStyle w:val="Hyperlink"/>
                  <w:rFonts w:cstheme="minorHAnsi"/>
                </w:rPr>
                <w:t>IFRS S1 General Requirements for Disclosure of Sustainability-related Financial Information (archived)</w:t>
              </w:r>
            </w:hyperlink>
          </w:p>
          <w:p w14:paraId="2C1AEF2C" w14:textId="221DE4CC" w:rsidR="008C158E" w:rsidRDefault="008C158E" w:rsidP="008C158E">
            <w:pPr>
              <w:pStyle w:val="ListParagraph"/>
              <w:numPr>
                <w:ilvl w:val="0"/>
                <w:numId w:val="49"/>
              </w:numPr>
              <w:rPr>
                <w:rFonts w:cstheme="minorHAnsi"/>
              </w:rPr>
            </w:pPr>
            <w:hyperlink r:id="rId22" w:history="1">
              <w:r w:rsidRPr="008C158E">
                <w:rPr>
                  <w:rStyle w:val="Hyperlink"/>
                  <w:rFonts w:cstheme="minorHAnsi"/>
                </w:rPr>
                <w:t>IFRS S2 Climate-related Disclosures (archived)</w:t>
              </w:r>
            </w:hyperlink>
          </w:p>
          <w:p w14:paraId="464989D6" w14:textId="0726D950" w:rsidR="008C158E" w:rsidRDefault="008C158E" w:rsidP="008C158E">
            <w:pPr>
              <w:pStyle w:val="ListParagraph"/>
              <w:numPr>
                <w:ilvl w:val="0"/>
                <w:numId w:val="49"/>
              </w:numPr>
              <w:rPr>
                <w:rFonts w:cstheme="minorHAnsi"/>
              </w:rPr>
            </w:pPr>
            <w:hyperlink r:id="rId23" w:history="1">
              <w:r w:rsidRPr="008C158E">
                <w:rPr>
                  <w:rStyle w:val="Hyperlink"/>
                  <w:rFonts w:cstheme="minorHAnsi"/>
                </w:rPr>
                <w:t>Principles for Responsible Banking (archived)</w:t>
              </w:r>
            </w:hyperlink>
          </w:p>
          <w:p w14:paraId="7478C0BE" w14:textId="4C59634C" w:rsidR="00C01AF9" w:rsidRPr="008C158E" w:rsidRDefault="008C158E" w:rsidP="008C158E">
            <w:pPr>
              <w:pStyle w:val="ListParagraph"/>
              <w:numPr>
                <w:ilvl w:val="0"/>
                <w:numId w:val="49"/>
              </w:numPr>
              <w:rPr>
                <w:rFonts w:cstheme="minorHAnsi"/>
              </w:rPr>
            </w:pPr>
            <w:hyperlink r:id="rId24" w:history="1">
              <w:r w:rsidRPr="008C158E">
                <w:rPr>
                  <w:rStyle w:val="Hyperlink"/>
                  <w:rFonts w:cstheme="minorHAnsi"/>
                </w:rPr>
                <w:t>Principles for Responsible Investment (archived)</w:t>
              </w:r>
            </w:hyperlink>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7AFD8B" w14:textId="77777777" w:rsidR="003526CE" w:rsidRDefault="003526CE" w:rsidP="00874E39">
      <w:r>
        <w:separator/>
      </w:r>
    </w:p>
  </w:endnote>
  <w:endnote w:type="continuationSeparator" w:id="0">
    <w:p w14:paraId="242A1CE8" w14:textId="77777777" w:rsidR="003526CE" w:rsidRDefault="003526CE" w:rsidP="00874E39">
      <w:r>
        <w:continuationSeparator/>
      </w:r>
    </w:p>
  </w:endnote>
  <w:endnote w:type="continuationNotice" w:id="1">
    <w:p w14:paraId="67F34DF4" w14:textId="77777777" w:rsidR="003526CE" w:rsidRDefault="003526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D9A8D9" w14:textId="77777777" w:rsidR="003526CE" w:rsidRDefault="003526CE" w:rsidP="00874E39">
      <w:r>
        <w:separator/>
      </w:r>
    </w:p>
  </w:footnote>
  <w:footnote w:type="continuationSeparator" w:id="0">
    <w:p w14:paraId="5BE9F5FD" w14:textId="77777777" w:rsidR="003526CE" w:rsidRDefault="003526CE" w:rsidP="00874E39">
      <w:r>
        <w:continuationSeparator/>
      </w:r>
    </w:p>
  </w:footnote>
  <w:footnote w:type="continuationNotice" w:id="1">
    <w:p w14:paraId="3857C64E" w14:textId="77777777" w:rsidR="003526CE" w:rsidRDefault="003526C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A6372AC"/>
    <w:multiLevelType w:val="hybridMultilevel"/>
    <w:tmpl w:val="F4BC93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850101318">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02E"/>
    <w:rsid w:val="00064195"/>
    <w:rsid w:val="00064FDB"/>
    <w:rsid w:val="00065A4A"/>
    <w:rsid w:val="0006692A"/>
    <w:rsid w:val="00067899"/>
    <w:rsid w:val="00067E05"/>
    <w:rsid w:val="000702AA"/>
    <w:rsid w:val="000704DB"/>
    <w:rsid w:val="00071C1F"/>
    <w:rsid w:val="0007502A"/>
    <w:rsid w:val="0007543B"/>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3A6"/>
    <w:rsid w:val="00203B08"/>
    <w:rsid w:val="002040F6"/>
    <w:rsid w:val="00204C4D"/>
    <w:rsid w:val="0020589D"/>
    <w:rsid w:val="00205D5A"/>
    <w:rsid w:val="002069B2"/>
    <w:rsid w:val="00206E20"/>
    <w:rsid w:val="00210E0F"/>
    <w:rsid w:val="00211851"/>
    <w:rsid w:val="002119B6"/>
    <w:rsid w:val="002122F2"/>
    <w:rsid w:val="00214F20"/>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08"/>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6CE"/>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B99"/>
    <w:rsid w:val="003A0C73"/>
    <w:rsid w:val="003A144F"/>
    <w:rsid w:val="003A2976"/>
    <w:rsid w:val="003A2E5E"/>
    <w:rsid w:val="003A4A9F"/>
    <w:rsid w:val="003A52E3"/>
    <w:rsid w:val="003A5B03"/>
    <w:rsid w:val="003A7B9E"/>
    <w:rsid w:val="003B0628"/>
    <w:rsid w:val="003B3C0F"/>
    <w:rsid w:val="003B4DD6"/>
    <w:rsid w:val="003B4F81"/>
    <w:rsid w:val="003B539A"/>
    <w:rsid w:val="003B5B6C"/>
    <w:rsid w:val="003B66F6"/>
    <w:rsid w:val="003B7854"/>
    <w:rsid w:val="003C16DA"/>
    <w:rsid w:val="003C52D4"/>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5F9"/>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65B"/>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8F3"/>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211"/>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2D"/>
    <w:rsid w:val="007404B4"/>
    <w:rsid w:val="00740BD6"/>
    <w:rsid w:val="007419BF"/>
    <w:rsid w:val="00741AA1"/>
    <w:rsid w:val="00741E55"/>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831"/>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E61"/>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158E"/>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69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CC2"/>
    <w:rsid w:val="009D3783"/>
    <w:rsid w:val="009D43A7"/>
    <w:rsid w:val="009D5403"/>
    <w:rsid w:val="009D59A5"/>
    <w:rsid w:val="009D7337"/>
    <w:rsid w:val="009D7CB0"/>
    <w:rsid w:val="009E133B"/>
    <w:rsid w:val="009E1E61"/>
    <w:rsid w:val="009E21B4"/>
    <w:rsid w:val="009E265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27B"/>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9A3"/>
    <w:rsid w:val="00B80E01"/>
    <w:rsid w:val="00B81D1E"/>
    <w:rsid w:val="00B82E77"/>
    <w:rsid w:val="00B82FEF"/>
    <w:rsid w:val="00B84428"/>
    <w:rsid w:val="00B84909"/>
    <w:rsid w:val="00B855E0"/>
    <w:rsid w:val="00B86DD7"/>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9DB"/>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367B"/>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D27"/>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5B4"/>
    <w:rsid w:val="00E17A58"/>
    <w:rsid w:val="00E17DB0"/>
    <w:rsid w:val="00E20574"/>
    <w:rsid w:val="00E2059C"/>
    <w:rsid w:val="00E2063A"/>
    <w:rsid w:val="00E20EF2"/>
    <w:rsid w:val="00E224C8"/>
    <w:rsid w:val="00E244AA"/>
    <w:rsid w:val="00E24527"/>
    <w:rsid w:val="00E24D9B"/>
    <w:rsid w:val="00E25259"/>
    <w:rsid w:val="00E25EAF"/>
    <w:rsid w:val="00E26760"/>
    <w:rsid w:val="00E27D07"/>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846"/>
    <w:rsid w:val="00EA734B"/>
    <w:rsid w:val="00EA7A7E"/>
    <w:rsid w:val="00EB2081"/>
    <w:rsid w:val="00EB2852"/>
    <w:rsid w:val="00EB2E05"/>
    <w:rsid w:val="00EB348F"/>
    <w:rsid w:val="00EB39B5"/>
    <w:rsid w:val="00EB55BA"/>
    <w:rsid w:val="00EB6985"/>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1E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C1F"/>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445116">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96923371">
      <w:bodyDiv w:val="1"/>
      <w:marLeft w:val="0"/>
      <w:marRight w:val="0"/>
      <w:marTop w:val="0"/>
      <w:marBottom w:val="0"/>
      <w:divBdr>
        <w:top w:val="none" w:sz="0" w:space="0" w:color="auto"/>
        <w:left w:val="none" w:sz="0" w:space="0" w:color="auto"/>
        <w:bottom w:val="none" w:sz="0" w:space="0" w:color="auto"/>
        <w:right w:val="none" w:sz="0" w:space="0" w:color="auto"/>
      </w:divBdr>
    </w:div>
    <w:div w:id="5144665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695669">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681912">
      <w:bodyDiv w:val="1"/>
      <w:marLeft w:val="0"/>
      <w:marRight w:val="0"/>
      <w:marTop w:val="0"/>
      <w:marBottom w:val="0"/>
      <w:divBdr>
        <w:top w:val="none" w:sz="0" w:space="0" w:color="auto"/>
        <w:left w:val="none" w:sz="0" w:space="0" w:color="auto"/>
        <w:bottom w:val="none" w:sz="0" w:space="0" w:color="auto"/>
        <w:right w:val="none" w:sz="0" w:space="0" w:color="auto"/>
      </w:divBdr>
    </w:div>
    <w:div w:id="1497460068">
      <w:bodyDiv w:val="1"/>
      <w:marLeft w:val="0"/>
      <w:marRight w:val="0"/>
      <w:marTop w:val="0"/>
      <w:marBottom w:val="0"/>
      <w:divBdr>
        <w:top w:val="none" w:sz="0" w:space="0" w:color="auto"/>
        <w:left w:val="none" w:sz="0" w:space="0" w:color="auto"/>
        <w:bottom w:val="none" w:sz="0" w:space="0" w:color="auto"/>
        <w:right w:val="none" w:sz="0" w:space="0" w:color="auto"/>
      </w:divBdr>
    </w:div>
    <w:div w:id="1600874565">
      <w:bodyDiv w:val="1"/>
      <w:marLeft w:val="0"/>
      <w:marRight w:val="0"/>
      <w:marTop w:val="0"/>
      <w:marBottom w:val="0"/>
      <w:divBdr>
        <w:top w:val="none" w:sz="0" w:space="0" w:color="auto"/>
        <w:left w:val="none" w:sz="0" w:space="0" w:color="auto"/>
        <w:bottom w:val="none" w:sz="0" w:space="0" w:color="auto"/>
        <w:right w:val="none" w:sz="0" w:space="0" w:color="auto"/>
      </w:divBdr>
    </w:div>
    <w:div w:id="18025347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30701000000/https:/www.ifrs.org/issued-standards/ifrs-sustainability-standards-ifrs-s1-general-requirements-for-disclosure-of-sustainability-related-financial-informatio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21084816/https:/www.superfinanciera.gov.co/loader.php?lServicio=Tools2&amp;lTipo=descargas&amp;lFuncion=descargar&amp;idFile=1069394"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30401000000/https:/www.ngfs.net/sites/default/files/media/2021/04/01/821048_ngfs_dashboard.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30601000000/https:/www.unpri.org/about-us/what-are-the-principles-for-responsible-investment"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30601000000/https:/www.unepfi.org/banking/bankingprinciples/" TargetMode="Externa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30701000000/https:/www.ifrs.org/issued-standards/ifrs-sustainability-standards-ifrs-s2-climate-related-disclosures/"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23C47B2B-49F5-4528-89CE-B51125287E64}"/>
</file>

<file path=docProps/app.xml><?xml version="1.0" encoding="utf-8"?>
<Properties xmlns="http://schemas.openxmlformats.org/officeDocument/2006/extended-properties" xmlns:vt="http://schemas.openxmlformats.org/officeDocument/2006/docPropsVTypes">
  <Template>Normal</Template>
  <TotalTime>33</TotalTime>
  <Pages>20</Pages>
  <Words>23811</Words>
  <Characters>130966</Characters>
  <Application>Microsoft Office Word</Application>
  <DocSecurity>0</DocSecurity>
  <Lines>1091</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17</cp:revision>
  <cp:lastPrinted>2025-03-21T00:14:00Z</cp:lastPrinted>
  <dcterms:created xsi:type="dcterms:W3CDTF">2025-06-25T15:15:00Z</dcterms:created>
  <dcterms:modified xsi:type="dcterms:W3CDTF">2025-07-09T22:51:00Z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